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CEF1F2">
      <w:pPr>
        <w:rPr>
          <w:rFonts w:ascii="宋体" w:hAnsi="宋体" w:cs="宋体"/>
          <w:b/>
          <w:bCs/>
          <w:sz w:val="36"/>
          <w:szCs w:val="36"/>
        </w:rPr>
        <w:sectPr>
          <w:footerReference r:id="rId4" w:type="default"/>
          <w:footnotePr>
            <w:numRestart w:val="eachPage"/>
          </w:footnotePr>
          <w:pgSz w:w="11906" w:h="16838"/>
          <w:pgMar w:top="1440" w:right="1800" w:bottom="1440" w:left="1800" w:header="851" w:footer="992" w:gutter="0"/>
          <w:pgNumType w:fmt="numberInDash"/>
          <w:cols w:space="425" w:num="1"/>
          <w:docGrid w:type="lines" w:linePitch="312" w:charSpace="0"/>
        </w:sectPr>
      </w:pPr>
    </w:p>
    <w:p w14:paraId="45B8FE78">
      <w:pPr>
        <w:adjustRightInd w:val="0"/>
        <w:snapToGrid w:val="0"/>
        <w:spacing w:line="540" w:lineRule="exact"/>
        <w:jc w:val="center"/>
        <w:rPr>
          <w:rFonts w:ascii="宋体" w:hAnsi="宋体" w:cs="宋体"/>
          <w:b/>
          <w:bCs/>
          <w:sz w:val="36"/>
          <w:szCs w:val="36"/>
        </w:rPr>
      </w:pPr>
      <w:bookmarkStart w:id="1" w:name="_GoBack"/>
      <w:bookmarkEnd w:id="1"/>
      <w:r>
        <w:rPr>
          <w:rFonts w:hint="eastAsia" w:ascii="宋体" w:hAnsi="宋体" w:cs="宋体"/>
          <w:b/>
          <w:bCs/>
          <w:sz w:val="36"/>
          <w:szCs w:val="36"/>
        </w:rPr>
        <w:t>上海市第十八届运动会</w:t>
      </w:r>
      <w:r>
        <w:rPr>
          <w:rFonts w:hint="eastAsia" w:ascii="宋体" w:hAnsi="宋体" w:cs="宋体"/>
          <w:b/>
          <w:bCs/>
          <w:sz w:val="36"/>
          <w:szCs w:val="36"/>
          <w:lang w:val="en-US" w:eastAsia="zh-CN"/>
        </w:rPr>
        <w:t>游泳</w:t>
      </w:r>
      <w:r>
        <w:rPr>
          <w:rFonts w:hint="eastAsia" w:ascii="宋体" w:hAnsi="宋体" w:cs="宋体"/>
          <w:b/>
          <w:bCs/>
          <w:sz w:val="36"/>
          <w:szCs w:val="36"/>
        </w:rPr>
        <w:t>比赛（</w:t>
      </w:r>
      <w:r>
        <w:rPr>
          <w:rFonts w:hint="eastAsia" w:ascii="宋体" w:hAnsi="宋体" w:cs="宋体"/>
          <w:b/>
          <w:bCs/>
          <w:sz w:val="36"/>
          <w:szCs w:val="36"/>
          <w:lang w:val="en-US" w:eastAsia="zh-CN"/>
        </w:rPr>
        <w:t>高校</w:t>
      </w:r>
      <w:r>
        <w:rPr>
          <w:rFonts w:hint="eastAsia" w:ascii="宋体" w:hAnsi="宋体" w:cs="宋体"/>
          <w:b/>
          <w:bCs/>
          <w:sz w:val="36"/>
          <w:szCs w:val="36"/>
        </w:rPr>
        <w:t>组）</w:t>
      </w:r>
    </w:p>
    <w:p w14:paraId="0B236965">
      <w:pPr>
        <w:snapToGrid w:val="0"/>
        <w:spacing w:line="540" w:lineRule="exact"/>
        <w:jc w:val="center"/>
        <w:rPr>
          <w:rFonts w:ascii="宋体" w:hAnsi="宋体" w:cs="宋体"/>
          <w:b/>
          <w:bCs/>
          <w:sz w:val="36"/>
          <w:szCs w:val="36"/>
        </w:rPr>
      </w:pPr>
      <w:r>
        <w:rPr>
          <w:rFonts w:hint="eastAsia" w:ascii="宋体" w:hAnsi="宋体" w:cs="宋体"/>
          <w:b/>
          <w:bCs/>
          <w:sz w:val="36"/>
          <w:szCs w:val="36"/>
        </w:rPr>
        <w:t>竞赛规程</w:t>
      </w:r>
    </w:p>
    <w:p w14:paraId="7F2324A6">
      <w:pPr>
        <w:adjustRightInd w:val="0"/>
        <w:snapToGrid w:val="0"/>
        <w:spacing w:line="540" w:lineRule="exact"/>
        <w:ind w:firstLine="562" w:firstLineChars="200"/>
        <w:rPr>
          <w:rFonts w:ascii="仿宋" w:hAnsi="仿宋" w:eastAsia="仿宋" w:cs="仿宋"/>
          <w:sz w:val="28"/>
          <w:szCs w:val="28"/>
        </w:rPr>
      </w:pPr>
      <w:r>
        <w:rPr>
          <w:rFonts w:hint="eastAsia" w:ascii="仿宋" w:hAnsi="仿宋" w:eastAsia="仿宋" w:cs="仿宋"/>
          <w:b/>
          <w:sz w:val="28"/>
          <w:szCs w:val="28"/>
        </w:rPr>
        <w:t>一、主办单位：</w:t>
      </w:r>
      <w:r>
        <w:rPr>
          <w:rFonts w:hint="eastAsia" w:ascii="仿宋" w:hAnsi="仿宋" w:eastAsia="仿宋" w:cs="仿宋"/>
          <w:sz w:val="28"/>
          <w:szCs w:val="28"/>
        </w:rPr>
        <w:t>上海市体育局、上海市教育委员会</w:t>
      </w:r>
    </w:p>
    <w:p w14:paraId="2419051E">
      <w:pPr>
        <w:adjustRightInd w:val="0"/>
        <w:snapToGrid w:val="0"/>
        <w:spacing w:line="540" w:lineRule="exact"/>
        <w:ind w:firstLine="562" w:firstLineChars="200"/>
        <w:rPr>
          <w:rFonts w:hint="default" w:ascii="仿宋" w:hAnsi="仿宋" w:eastAsia="仿宋" w:cs="仿宋"/>
          <w:sz w:val="28"/>
          <w:szCs w:val="28"/>
          <w:highlight w:val="none"/>
          <w:lang w:val="en-US" w:eastAsia="zh-CN"/>
        </w:rPr>
      </w:pPr>
      <w:r>
        <w:rPr>
          <w:rFonts w:hint="eastAsia" w:ascii="仿宋" w:hAnsi="仿宋" w:eastAsia="仿宋" w:cs="仿宋"/>
          <w:b/>
          <w:sz w:val="28"/>
          <w:szCs w:val="28"/>
          <w:highlight w:val="none"/>
        </w:rPr>
        <w:t>二、承办单位：</w:t>
      </w:r>
      <w:r>
        <w:rPr>
          <w:rFonts w:hint="eastAsia" w:ascii="仿宋" w:hAnsi="仿宋" w:eastAsia="仿宋" w:cs="仿宋"/>
          <w:sz w:val="28"/>
          <w:szCs w:val="28"/>
          <w:highlight w:val="none"/>
          <w:lang w:val="en-US" w:eastAsia="zh-CN"/>
        </w:rPr>
        <w:t>上海市学生体育联合会、上海交通大学</w:t>
      </w:r>
    </w:p>
    <w:p w14:paraId="0CA48490">
      <w:pPr>
        <w:adjustRightInd w:val="0"/>
        <w:snapToGrid w:val="0"/>
        <w:spacing w:line="540" w:lineRule="exact"/>
        <w:ind w:firstLine="562" w:firstLineChars="200"/>
        <w:rPr>
          <w:rFonts w:hint="default" w:ascii="仿宋" w:hAnsi="仿宋" w:eastAsia="仿宋" w:cs="仿宋"/>
          <w:sz w:val="28"/>
          <w:szCs w:val="28"/>
          <w:highlight w:val="none"/>
          <w:lang w:val="en-US" w:eastAsia="zh-CN"/>
        </w:rPr>
      </w:pPr>
      <w:r>
        <w:rPr>
          <w:rFonts w:hint="eastAsia" w:ascii="仿宋" w:hAnsi="仿宋" w:eastAsia="仿宋" w:cs="仿宋"/>
          <w:b/>
          <w:sz w:val="28"/>
          <w:szCs w:val="28"/>
          <w:highlight w:val="none"/>
        </w:rPr>
        <w:t>三、协办单位：</w:t>
      </w:r>
      <w:r>
        <w:rPr>
          <w:rFonts w:hint="eastAsia" w:ascii="仿宋" w:hAnsi="仿宋" w:eastAsia="仿宋" w:cs="仿宋"/>
          <w:sz w:val="28"/>
          <w:szCs w:val="28"/>
          <w:highlight w:val="none"/>
          <w:lang w:val="en-US" w:eastAsia="zh-CN"/>
        </w:rPr>
        <w:t>上海理工大学</w:t>
      </w:r>
    </w:p>
    <w:p w14:paraId="08E0F95A">
      <w:pPr>
        <w:adjustRightInd w:val="0"/>
        <w:snapToGrid w:val="0"/>
        <w:spacing w:line="540" w:lineRule="exact"/>
        <w:ind w:firstLine="562" w:firstLineChars="200"/>
        <w:rPr>
          <w:rFonts w:hint="default" w:ascii="仿宋" w:hAnsi="仿宋" w:eastAsia="仿宋" w:cs="仿宋"/>
          <w:sz w:val="28"/>
          <w:szCs w:val="28"/>
          <w:highlight w:val="none"/>
          <w:lang w:val="en-US" w:eastAsia="zh-CN"/>
        </w:rPr>
      </w:pPr>
      <w:r>
        <w:rPr>
          <w:rFonts w:hint="eastAsia" w:ascii="仿宋" w:hAnsi="仿宋" w:eastAsia="仿宋" w:cs="仿宋"/>
          <w:b/>
          <w:sz w:val="28"/>
          <w:szCs w:val="28"/>
          <w:highlight w:val="none"/>
        </w:rPr>
        <w:t>四、竞赛日期：</w:t>
      </w:r>
      <w:r>
        <w:rPr>
          <w:rFonts w:hint="eastAsia" w:ascii="仿宋" w:hAnsi="仿宋" w:eastAsia="仿宋" w:cs="仿宋"/>
          <w:sz w:val="28"/>
          <w:szCs w:val="28"/>
          <w:highlight w:val="none"/>
          <w:lang w:val="en-US" w:eastAsia="zh-CN"/>
        </w:rPr>
        <w:t>2026年11月28-29日</w:t>
      </w:r>
    </w:p>
    <w:p w14:paraId="5B495882">
      <w:pPr>
        <w:adjustRightInd w:val="0"/>
        <w:snapToGrid w:val="0"/>
        <w:spacing w:line="540" w:lineRule="exact"/>
        <w:ind w:firstLine="562" w:firstLineChars="200"/>
        <w:rPr>
          <w:rFonts w:hint="default" w:ascii="仿宋" w:hAnsi="仿宋" w:eastAsia="仿宋" w:cs="仿宋"/>
          <w:sz w:val="28"/>
          <w:szCs w:val="28"/>
          <w:highlight w:val="none"/>
          <w:lang w:val="en-US" w:eastAsia="zh-CN"/>
        </w:rPr>
      </w:pPr>
      <w:r>
        <w:rPr>
          <w:rFonts w:hint="eastAsia" w:ascii="仿宋" w:hAnsi="仿宋" w:eastAsia="仿宋" w:cs="仿宋"/>
          <w:b/>
          <w:sz w:val="28"/>
          <w:szCs w:val="28"/>
          <w:highlight w:val="none"/>
        </w:rPr>
        <w:t>五、竞赛地点：</w:t>
      </w:r>
      <w:r>
        <w:rPr>
          <w:rFonts w:hint="eastAsia" w:ascii="仿宋" w:hAnsi="仿宋" w:eastAsia="仿宋" w:cs="仿宋"/>
          <w:sz w:val="28"/>
          <w:szCs w:val="28"/>
          <w:highlight w:val="none"/>
          <w:lang w:val="en-US" w:eastAsia="zh-CN"/>
        </w:rPr>
        <w:t>上海理工大学游泳馆（军工路470号）</w:t>
      </w:r>
    </w:p>
    <w:p w14:paraId="2FB46716">
      <w:pPr>
        <w:adjustRightInd w:val="0"/>
        <w:snapToGrid w:val="0"/>
        <w:spacing w:line="540" w:lineRule="exact"/>
        <w:ind w:firstLine="562" w:firstLineChars="200"/>
        <w:rPr>
          <w:rFonts w:hint="eastAsia" w:ascii="仿宋" w:hAnsi="仿宋" w:eastAsia="仿宋" w:cs="仿宋"/>
          <w:sz w:val="28"/>
          <w:szCs w:val="28"/>
          <w:lang w:val="en-US" w:eastAsia="zh-CN"/>
        </w:rPr>
      </w:pPr>
      <w:r>
        <w:rPr>
          <w:rFonts w:hint="eastAsia" w:ascii="仿宋" w:hAnsi="仿宋" w:eastAsia="仿宋" w:cs="仿宋"/>
          <w:b/>
          <w:bCs/>
          <w:sz w:val="28"/>
          <w:szCs w:val="28"/>
        </w:rPr>
        <w:t>六、参赛单位</w:t>
      </w:r>
      <w:r>
        <w:rPr>
          <w:rFonts w:hint="eastAsia" w:ascii="仿宋" w:hAnsi="仿宋" w:eastAsia="仿宋" w:cs="仿宋"/>
          <w:sz w:val="28"/>
          <w:szCs w:val="28"/>
        </w:rPr>
        <w:t>：本市各</w:t>
      </w:r>
      <w:r>
        <w:rPr>
          <w:rFonts w:hint="eastAsia" w:ascii="仿宋" w:hAnsi="仿宋" w:eastAsia="仿宋" w:cs="仿宋"/>
          <w:sz w:val="28"/>
          <w:szCs w:val="28"/>
          <w:lang w:val="en-US" w:eastAsia="zh-CN"/>
        </w:rPr>
        <w:t>高校</w:t>
      </w:r>
    </w:p>
    <w:p w14:paraId="1E2039A7">
      <w:pPr>
        <w:tabs>
          <w:tab w:val="center" w:pos="4153"/>
        </w:tabs>
        <w:adjustRightInd w:val="0"/>
        <w:snapToGrid w:val="0"/>
        <w:spacing w:line="540" w:lineRule="exact"/>
        <w:ind w:firstLine="562" w:firstLineChars="200"/>
        <w:rPr>
          <w:rFonts w:hint="eastAsia" w:ascii="仿宋" w:hAnsi="仿宋" w:eastAsia="仿宋" w:cs="仿宋"/>
          <w:b/>
          <w:sz w:val="28"/>
          <w:szCs w:val="28"/>
          <w:lang w:eastAsia="zh-CN"/>
        </w:rPr>
      </w:pPr>
      <w:r>
        <w:rPr>
          <w:rFonts w:hint="eastAsia" w:ascii="仿宋" w:hAnsi="仿宋" w:eastAsia="仿宋" w:cs="仿宋"/>
          <w:b/>
          <w:sz w:val="28"/>
          <w:szCs w:val="28"/>
        </w:rPr>
        <w:t>七、年龄组别和小项设置</w:t>
      </w:r>
      <w:r>
        <w:rPr>
          <w:rFonts w:hint="eastAsia" w:ascii="仿宋" w:hAnsi="仿宋" w:eastAsia="仿宋" w:cs="仿宋"/>
          <w:b/>
          <w:sz w:val="28"/>
          <w:szCs w:val="28"/>
          <w:lang w:eastAsia="zh-CN"/>
        </w:rPr>
        <w:tab/>
      </w:r>
    </w:p>
    <w:tbl>
      <w:tblPr>
        <w:tblStyle w:val="10"/>
        <w:tblW w:w="9375" w:type="dxa"/>
        <w:tblInd w:w="-444"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90"/>
        <w:gridCol w:w="1035"/>
        <w:gridCol w:w="3645"/>
        <w:gridCol w:w="3705"/>
      </w:tblGrid>
      <w:tr w14:paraId="3385A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0" w:hRule="atLeast"/>
        </w:trPr>
        <w:tc>
          <w:tcPr>
            <w:tcW w:w="990" w:type="dxa"/>
            <w:tcBorders>
              <w:top w:val="single" w:color="000000" w:sz="6" w:space="0"/>
              <w:left w:val="single" w:color="000000" w:sz="6" w:space="0"/>
              <w:bottom w:val="nil"/>
              <w:right w:val="single" w:color="000000" w:sz="6" w:space="0"/>
            </w:tcBorders>
            <w:vAlign w:val="center"/>
          </w:tcPr>
          <w:p w14:paraId="69237807">
            <w:pPr>
              <w:ind w:left="9"/>
              <w:jc w:val="center"/>
              <w:rPr>
                <w:rFonts w:ascii="仿宋" w:hAnsi="仿宋" w:eastAsia="仿宋" w:cs="仿宋"/>
                <w:szCs w:val="21"/>
              </w:rPr>
            </w:pPr>
            <w:r>
              <w:rPr>
                <w:rFonts w:hint="eastAsia" w:ascii="仿宋" w:hAnsi="仿宋" w:eastAsia="仿宋" w:cs="仿宋"/>
                <w:b/>
                <w:bCs/>
                <w:szCs w:val="21"/>
              </w:rPr>
              <w:t>组别</w:t>
            </w:r>
          </w:p>
        </w:tc>
        <w:tc>
          <w:tcPr>
            <w:tcW w:w="1035" w:type="dxa"/>
            <w:tcBorders>
              <w:top w:val="single" w:color="000000" w:sz="6" w:space="0"/>
              <w:left w:val="single" w:color="000000" w:sz="6" w:space="0"/>
              <w:bottom w:val="nil"/>
              <w:right w:val="single" w:color="000000" w:sz="6" w:space="0"/>
            </w:tcBorders>
            <w:vAlign w:val="center"/>
          </w:tcPr>
          <w:p w14:paraId="14AF510E">
            <w:pPr>
              <w:ind w:left="49"/>
              <w:jc w:val="center"/>
              <w:rPr>
                <w:rFonts w:ascii="仿宋" w:hAnsi="仿宋" w:eastAsia="仿宋" w:cs="仿宋"/>
                <w:szCs w:val="21"/>
              </w:rPr>
            </w:pPr>
            <w:r>
              <w:rPr>
                <w:rFonts w:hint="eastAsia" w:ascii="仿宋" w:hAnsi="仿宋" w:eastAsia="仿宋" w:cs="仿宋"/>
                <w:b/>
                <w:bCs/>
                <w:szCs w:val="21"/>
              </w:rPr>
              <w:t>设项数</w:t>
            </w:r>
          </w:p>
        </w:tc>
        <w:tc>
          <w:tcPr>
            <w:tcW w:w="3645" w:type="dxa"/>
            <w:tcBorders>
              <w:top w:val="single" w:color="000000" w:sz="6" w:space="0"/>
              <w:left w:val="single" w:color="000000" w:sz="6" w:space="0"/>
              <w:bottom w:val="single" w:color="000000" w:sz="6" w:space="0"/>
              <w:right w:val="single" w:color="000000" w:sz="6" w:space="0"/>
            </w:tcBorders>
            <w:vAlign w:val="center"/>
          </w:tcPr>
          <w:p w14:paraId="369A596E">
            <w:pPr>
              <w:ind w:left="9"/>
              <w:jc w:val="center"/>
              <w:rPr>
                <w:rFonts w:ascii="仿宋" w:hAnsi="仿宋" w:eastAsia="仿宋" w:cs="仿宋"/>
                <w:b/>
                <w:bCs/>
                <w:szCs w:val="21"/>
              </w:rPr>
            </w:pPr>
            <w:r>
              <w:rPr>
                <w:rFonts w:hint="eastAsia" w:ascii="仿宋" w:hAnsi="仿宋" w:eastAsia="仿宋" w:cs="仿宋"/>
                <w:b/>
                <w:bCs/>
                <w:szCs w:val="21"/>
              </w:rPr>
              <w:t>男子</w:t>
            </w:r>
          </w:p>
        </w:tc>
        <w:tc>
          <w:tcPr>
            <w:tcW w:w="3705" w:type="dxa"/>
            <w:tcBorders>
              <w:top w:val="single" w:color="000000" w:sz="6" w:space="0"/>
              <w:left w:val="single" w:color="000000" w:sz="6" w:space="0"/>
              <w:bottom w:val="single" w:color="000000" w:sz="6" w:space="0"/>
              <w:right w:val="single" w:color="000000" w:sz="6" w:space="0"/>
            </w:tcBorders>
            <w:vAlign w:val="center"/>
          </w:tcPr>
          <w:p w14:paraId="69BC39CC">
            <w:pPr>
              <w:ind w:left="9"/>
              <w:jc w:val="center"/>
              <w:rPr>
                <w:rFonts w:ascii="仿宋" w:hAnsi="仿宋" w:eastAsia="仿宋" w:cs="仿宋"/>
                <w:b/>
                <w:bCs/>
                <w:szCs w:val="21"/>
              </w:rPr>
            </w:pPr>
            <w:r>
              <w:rPr>
                <w:rFonts w:hint="eastAsia" w:ascii="仿宋" w:hAnsi="仿宋" w:eastAsia="仿宋" w:cs="仿宋"/>
                <w:b/>
                <w:bCs/>
                <w:szCs w:val="21"/>
              </w:rPr>
              <w:t>女子</w:t>
            </w:r>
          </w:p>
        </w:tc>
      </w:tr>
      <w:tr w14:paraId="349246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28" w:hRule="atLeast"/>
        </w:trPr>
        <w:tc>
          <w:tcPr>
            <w:tcW w:w="990" w:type="dxa"/>
            <w:vMerge w:val="restart"/>
            <w:tcBorders>
              <w:top w:val="single" w:color="000000" w:sz="6" w:space="0"/>
              <w:left w:val="single" w:color="000000" w:sz="6" w:space="0"/>
              <w:bottom w:val="nil"/>
              <w:right w:val="single" w:color="000000" w:sz="6" w:space="0"/>
            </w:tcBorders>
            <w:vAlign w:val="center"/>
          </w:tcPr>
          <w:p w14:paraId="442EC704">
            <w:pPr>
              <w:jc w:val="center"/>
              <w:rPr>
                <w:rFonts w:hint="eastAsia" w:ascii="仿宋" w:hAnsi="仿宋" w:eastAsia="仿宋" w:cs="仿宋"/>
                <w:szCs w:val="21"/>
                <w:lang w:eastAsia="zh-CN"/>
              </w:rPr>
            </w:pPr>
            <w:r>
              <w:rPr>
                <w:rFonts w:hint="eastAsia" w:ascii="仿宋" w:hAnsi="仿宋" w:eastAsia="仿宋" w:cs="仿宋"/>
                <w:szCs w:val="21"/>
                <w:lang w:val="en-US" w:eastAsia="zh-CN"/>
              </w:rPr>
              <w:t>甲组</w:t>
            </w:r>
          </w:p>
        </w:tc>
        <w:tc>
          <w:tcPr>
            <w:tcW w:w="1035" w:type="dxa"/>
            <w:vMerge w:val="restart"/>
            <w:tcBorders>
              <w:top w:val="single" w:color="000000" w:sz="6" w:space="0"/>
              <w:left w:val="single" w:color="000000" w:sz="6" w:space="0"/>
              <w:bottom w:val="nil"/>
              <w:right w:val="single" w:color="000000" w:sz="6" w:space="0"/>
            </w:tcBorders>
            <w:vAlign w:val="center"/>
          </w:tcPr>
          <w:p w14:paraId="27192B2D">
            <w:pPr>
              <w:spacing w:before="59" w:line="183" w:lineRule="auto"/>
              <w:ind w:left="21" w:leftChars="10"/>
              <w:jc w:val="center"/>
              <w:rPr>
                <w:rFonts w:hint="default" w:ascii="仿宋" w:hAnsi="仿宋" w:eastAsia="仿宋" w:cs="仿宋"/>
                <w:szCs w:val="21"/>
                <w:lang w:val="en-US" w:eastAsia="zh-CN"/>
              </w:rPr>
            </w:pPr>
            <w:r>
              <w:rPr>
                <w:rFonts w:hint="eastAsia" w:ascii="仿宋" w:hAnsi="仿宋" w:eastAsia="仿宋" w:cs="仿宋"/>
                <w:szCs w:val="21"/>
                <w:lang w:val="en-US" w:eastAsia="zh-CN"/>
              </w:rPr>
              <w:t>40</w:t>
            </w:r>
          </w:p>
        </w:tc>
        <w:tc>
          <w:tcPr>
            <w:tcW w:w="3645" w:type="dxa"/>
            <w:tcBorders>
              <w:top w:val="single" w:color="000000" w:sz="6" w:space="0"/>
              <w:left w:val="single" w:color="000000" w:sz="6" w:space="0"/>
              <w:bottom w:val="single" w:color="000000" w:sz="6" w:space="0"/>
              <w:right w:val="single" w:color="000000" w:sz="6" w:space="0"/>
            </w:tcBorders>
            <w:vAlign w:val="center"/>
          </w:tcPr>
          <w:p w14:paraId="38356F7E">
            <w:pPr>
              <w:ind w:left="73" w:leftChars="35"/>
              <w:jc w:val="center"/>
              <w:rPr>
                <w:rFonts w:hint="default" w:ascii="仿宋" w:hAnsi="仿宋" w:eastAsia="仿宋" w:cs="仿宋"/>
                <w:szCs w:val="21"/>
                <w:lang w:val="en-US" w:eastAsia="zh-CN"/>
              </w:rPr>
            </w:pPr>
            <w:r>
              <w:rPr>
                <w:rFonts w:hint="eastAsia" w:ascii="仿宋" w:hAnsi="仿宋" w:eastAsia="仿宋" w:cs="仿宋"/>
                <w:szCs w:val="21"/>
                <w:lang w:val="en-US" w:eastAsia="zh-CN"/>
              </w:rPr>
              <w:t>自由泳（50米、100米、200米、400米、1500米）、蛙泳（50米、100米、200米）、仰泳（50米、100米、200米）、蝶泳（50米、100米、200米）、个人混合泳（200米、400米）、4X100米自由泳接力、4X100米混合泳接力、4X200米自由泳接力</w:t>
            </w:r>
          </w:p>
        </w:tc>
        <w:tc>
          <w:tcPr>
            <w:tcW w:w="3705" w:type="dxa"/>
            <w:tcBorders>
              <w:top w:val="single" w:color="000000" w:sz="6" w:space="0"/>
              <w:left w:val="single" w:color="000000" w:sz="6" w:space="0"/>
              <w:bottom w:val="single" w:color="000000" w:sz="6" w:space="0"/>
              <w:right w:val="single" w:color="000000" w:sz="6" w:space="0"/>
            </w:tcBorders>
            <w:vAlign w:val="center"/>
          </w:tcPr>
          <w:p w14:paraId="261BC57A">
            <w:pPr>
              <w:ind w:left="73" w:leftChars="35"/>
              <w:jc w:val="center"/>
              <w:rPr>
                <w:rFonts w:ascii="仿宋" w:hAnsi="仿宋" w:eastAsia="仿宋" w:cs="仿宋"/>
                <w:szCs w:val="21"/>
              </w:rPr>
            </w:pPr>
            <w:r>
              <w:rPr>
                <w:rFonts w:hint="eastAsia" w:ascii="仿宋" w:hAnsi="仿宋" w:eastAsia="仿宋" w:cs="仿宋"/>
                <w:szCs w:val="21"/>
                <w:lang w:val="en-US" w:eastAsia="zh-CN"/>
              </w:rPr>
              <w:t>自由泳（50米、100米、200米、400米、800米）、蛙泳（50米、100米、200米）、仰泳（50米、100米、200米）、蝶泳（50米、100米、200米）、个人混合泳（200米、400米）、4X100米自由泳接力、4X100米混合泳接力、4X200米自由泳接力</w:t>
            </w:r>
          </w:p>
        </w:tc>
      </w:tr>
      <w:tr w14:paraId="678F9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16" w:hRule="atLeast"/>
        </w:trPr>
        <w:tc>
          <w:tcPr>
            <w:tcW w:w="990" w:type="dxa"/>
            <w:vMerge w:val="continue"/>
            <w:tcBorders>
              <w:top w:val="nil"/>
              <w:left w:val="single" w:color="000000" w:sz="6" w:space="0"/>
              <w:bottom w:val="single" w:color="000000" w:sz="6" w:space="0"/>
              <w:right w:val="single" w:color="000000" w:sz="6" w:space="0"/>
            </w:tcBorders>
            <w:vAlign w:val="center"/>
          </w:tcPr>
          <w:p w14:paraId="465B17CD">
            <w:pPr>
              <w:pStyle w:val="24"/>
              <w:jc w:val="center"/>
              <w:rPr>
                <w:rFonts w:ascii="仿宋" w:hAnsi="仿宋" w:eastAsia="仿宋" w:cs="仿宋"/>
                <w:szCs w:val="21"/>
              </w:rPr>
            </w:pPr>
          </w:p>
        </w:tc>
        <w:tc>
          <w:tcPr>
            <w:tcW w:w="1035" w:type="dxa"/>
            <w:vMerge w:val="continue"/>
            <w:tcBorders>
              <w:top w:val="nil"/>
              <w:left w:val="single" w:color="000000" w:sz="6" w:space="0"/>
              <w:bottom w:val="single" w:color="000000" w:sz="6" w:space="0"/>
              <w:right w:val="single" w:color="000000" w:sz="6" w:space="0"/>
            </w:tcBorders>
            <w:vAlign w:val="center"/>
          </w:tcPr>
          <w:p w14:paraId="48FC3E00">
            <w:pPr>
              <w:pStyle w:val="24"/>
              <w:ind w:left="21" w:leftChars="10"/>
              <w:jc w:val="center"/>
              <w:rPr>
                <w:rFonts w:ascii="仿宋" w:hAnsi="仿宋" w:eastAsia="仿宋" w:cs="仿宋"/>
                <w:szCs w:val="21"/>
              </w:rPr>
            </w:pPr>
          </w:p>
        </w:tc>
        <w:tc>
          <w:tcPr>
            <w:tcW w:w="7350" w:type="dxa"/>
            <w:gridSpan w:val="2"/>
            <w:tcBorders>
              <w:top w:val="single" w:color="000000" w:sz="6" w:space="0"/>
              <w:left w:val="single" w:color="000000" w:sz="6" w:space="0"/>
              <w:bottom w:val="single" w:color="000000" w:sz="6" w:space="0"/>
              <w:right w:val="single" w:color="000000" w:sz="6" w:space="0"/>
            </w:tcBorders>
            <w:vAlign w:val="center"/>
          </w:tcPr>
          <w:p w14:paraId="3F71EA56">
            <w:pPr>
              <w:ind w:left="73" w:leftChars="35"/>
              <w:jc w:val="center"/>
              <w:rPr>
                <w:rFonts w:hint="default" w:ascii="仿宋" w:hAnsi="仿宋" w:eastAsia="仿宋" w:cs="仿宋"/>
                <w:szCs w:val="21"/>
                <w:lang w:val="en-US" w:eastAsia="zh-CN"/>
              </w:rPr>
            </w:pPr>
            <w:r>
              <w:rPr>
                <w:rFonts w:hint="eastAsia" w:ascii="仿宋" w:hAnsi="仿宋" w:eastAsia="仿宋" w:cs="仿宋"/>
                <w:spacing w:val="-1"/>
                <w:szCs w:val="21"/>
                <w:lang w:val="en-US" w:eastAsia="zh-CN"/>
              </w:rPr>
              <w:t>男女4X100米自由泳接力、男女4X100米混合泳接力</w:t>
            </w:r>
          </w:p>
        </w:tc>
      </w:tr>
      <w:tr w14:paraId="6919DA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90" w:type="dxa"/>
            <w:vMerge w:val="restart"/>
            <w:tcBorders>
              <w:top w:val="single" w:color="000000" w:sz="6" w:space="0"/>
              <w:left w:val="single" w:color="000000" w:sz="6" w:space="0"/>
              <w:bottom w:val="nil"/>
              <w:right w:val="single" w:color="000000" w:sz="6" w:space="0"/>
            </w:tcBorders>
            <w:vAlign w:val="center"/>
          </w:tcPr>
          <w:p w14:paraId="75B08D48">
            <w:pPr>
              <w:jc w:val="center"/>
              <w:rPr>
                <w:rFonts w:hint="eastAsia" w:ascii="仿宋" w:hAnsi="仿宋" w:eastAsia="仿宋" w:cs="仿宋"/>
                <w:szCs w:val="21"/>
                <w:lang w:eastAsia="zh-CN"/>
              </w:rPr>
            </w:pPr>
            <w:r>
              <w:rPr>
                <w:rFonts w:hint="eastAsia" w:ascii="仿宋" w:hAnsi="仿宋" w:eastAsia="仿宋" w:cs="仿宋"/>
                <w:szCs w:val="21"/>
                <w:lang w:val="en-US" w:eastAsia="zh-CN"/>
              </w:rPr>
              <w:t>乙组</w:t>
            </w:r>
          </w:p>
        </w:tc>
        <w:tc>
          <w:tcPr>
            <w:tcW w:w="1035" w:type="dxa"/>
            <w:vMerge w:val="restart"/>
            <w:tcBorders>
              <w:top w:val="single" w:color="000000" w:sz="6" w:space="0"/>
              <w:left w:val="single" w:color="000000" w:sz="6" w:space="0"/>
              <w:bottom w:val="nil"/>
              <w:right w:val="single" w:color="000000" w:sz="6" w:space="0"/>
            </w:tcBorders>
            <w:vAlign w:val="center"/>
          </w:tcPr>
          <w:p w14:paraId="0D136DEA">
            <w:pPr>
              <w:spacing w:before="59" w:line="183" w:lineRule="auto"/>
              <w:ind w:left="21" w:leftChars="10"/>
              <w:jc w:val="center"/>
              <w:rPr>
                <w:rFonts w:hint="default" w:ascii="仿宋" w:hAnsi="仿宋" w:eastAsia="仿宋" w:cs="仿宋"/>
                <w:szCs w:val="21"/>
                <w:lang w:val="en-US" w:eastAsia="zh-CN"/>
              </w:rPr>
            </w:pPr>
            <w:r>
              <w:rPr>
                <w:rFonts w:hint="eastAsia" w:ascii="仿宋" w:hAnsi="仿宋" w:eastAsia="仿宋" w:cs="仿宋"/>
                <w:szCs w:val="21"/>
                <w:lang w:val="en-US" w:eastAsia="zh-CN"/>
              </w:rPr>
              <w:t>40</w:t>
            </w:r>
          </w:p>
        </w:tc>
        <w:tc>
          <w:tcPr>
            <w:tcW w:w="3645" w:type="dxa"/>
            <w:tcBorders>
              <w:top w:val="single" w:color="000000" w:sz="6" w:space="0"/>
              <w:left w:val="single" w:color="000000" w:sz="6" w:space="0"/>
              <w:bottom w:val="single" w:color="000000" w:sz="6" w:space="0"/>
              <w:right w:val="single" w:color="000000" w:sz="6" w:space="0"/>
            </w:tcBorders>
            <w:vAlign w:val="center"/>
          </w:tcPr>
          <w:p w14:paraId="4494D88F">
            <w:pPr>
              <w:ind w:left="73" w:leftChars="35"/>
              <w:jc w:val="center"/>
              <w:rPr>
                <w:rFonts w:hint="default" w:ascii="仿宋" w:hAnsi="仿宋" w:eastAsia="仿宋" w:cs="仿宋"/>
                <w:szCs w:val="21"/>
                <w:lang w:val="en-US"/>
              </w:rPr>
            </w:pPr>
            <w:r>
              <w:rPr>
                <w:rFonts w:hint="eastAsia" w:ascii="仿宋" w:hAnsi="仿宋" w:eastAsia="仿宋" w:cs="仿宋"/>
                <w:szCs w:val="21"/>
                <w:lang w:val="en-US" w:eastAsia="zh-CN"/>
              </w:rPr>
              <w:t>自由泳（50米、100米、200米、400米、1500米）、蛙泳（50米、100米、200米）、仰泳（50米、100米、200米）、蝶泳（50米、100米、200米）、个人混合泳（200米、400米）、4X100米自由泳接力、4X100米混合泳接力、4X200米自由泳接力</w:t>
            </w:r>
          </w:p>
        </w:tc>
        <w:tc>
          <w:tcPr>
            <w:tcW w:w="3705" w:type="dxa"/>
            <w:tcBorders>
              <w:top w:val="single" w:color="000000" w:sz="6" w:space="0"/>
              <w:left w:val="single" w:color="000000" w:sz="6" w:space="0"/>
              <w:bottom w:val="single" w:color="000000" w:sz="6" w:space="0"/>
              <w:right w:val="single" w:color="000000" w:sz="6" w:space="0"/>
            </w:tcBorders>
            <w:vAlign w:val="center"/>
          </w:tcPr>
          <w:p w14:paraId="5A97ADAD">
            <w:pPr>
              <w:ind w:left="73" w:leftChars="35"/>
              <w:jc w:val="center"/>
              <w:rPr>
                <w:rFonts w:hint="default" w:ascii="仿宋" w:hAnsi="仿宋" w:eastAsia="仿宋" w:cs="仿宋"/>
                <w:szCs w:val="21"/>
                <w:lang w:val="en-US"/>
              </w:rPr>
            </w:pPr>
            <w:r>
              <w:rPr>
                <w:rFonts w:hint="eastAsia" w:ascii="仿宋" w:hAnsi="仿宋" w:eastAsia="仿宋" w:cs="仿宋"/>
                <w:szCs w:val="21"/>
                <w:lang w:val="en-US" w:eastAsia="zh-CN"/>
              </w:rPr>
              <w:t>自由泳（50米、100米、200米、400米、800米）、蛙泳（50米、100米、200米）、仰泳（50米、100米、200米）、蝶泳（50米、100米、200米）、个人混合泳（200米、400米）、4X100米自由泳接力、4X100米混合泳接力、4X200米自由泳接力</w:t>
            </w:r>
          </w:p>
        </w:tc>
      </w:tr>
      <w:tr w14:paraId="20168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5" w:hRule="atLeast"/>
        </w:trPr>
        <w:tc>
          <w:tcPr>
            <w:tcW w:w="990" w:type="dxa"/>
            <w:vMerge w:val="continue"/>
            <w:tcBorders>
              <w:top w:val="nil"/>
              <w:left w:val="single" w:color="000000" w:sz="6" w:space="0"/>
              <w:bottom w:val="single" w:color="000000" w:sz="6" w:space="0"/>
              <w:right w:val="single" w:color="000000" w:sz="6" w:space="0"/>
            </w:tcBorders>
            <w:vAlign w:val="center"/>
          </w:tcPr>
          <w:p w14:paraId="11720186">
            <w:pPr>
              <w:pStyle w:val="24"/>
              <w:jc w:val="center"/>
              <w:rPr>
                <w:rFonts w:ascii="仿宋" w:hAnsi="仿宋" w:eastAsia="仿宋" w:cs="仿宋"/>
                <w:szCs w:val="21"/>
              </w:rPr>
            </w:pPr>
          </w:p>
        </w:tc>
        <w:tc>
          <w:tcPr>
            <w:tcW w:w="1035" w:type="dxa"/>
            <w:vMerge w:val="continue"/>
            <w:tcBorders>
              <w:top w:val="nil"/>
              <w:left w:val="single" w:color="000000" w:sz="6" w:space="0"/>
              <w:bottom w:val="single" w:color="000000" w:sz="6" w:space="0"/>
              <w:right w:val="single" w:color="000000" w:sz="6" w:space="0"/>
            </w:tcBorders>
            <w:vAlign w:val="center"/>
          </w:tcPr>
          <w:p w14:paraId="58E921EE">
            <w:pPr>
              <w:pStyle w:val="24"/>
              <w:ind w:left="21" w:leftChars="10"/>
              <w:jc w:val="center"/>
              <w:rPr>
                <w:rFonts w:ascii="仿宋" w:hAnsi="仿宋" w:eastAsia="仿宋" w:cs="仿宋"/>
                <w:szCs w:val="21"/>
              </w:rPr>
            </w:pPr>
          </w:p>
        </w:tc>
        <w:tc>
          <w:tcPr>
            <w:tcW w:w="7350" w:type="dxa"/>
            <w:gridSpan w:val="2"/>
            <w:tcBorders>
              <w:top w:val="single" w:color="000000" w:sz="6" w:space="0"/>
              <w:left w:val="single" w:color="000000" w:sz="6" w:space="0"/>
              <w:bottom w:val="single" w:color="000000" w:sz="6" w:space="0"/>
              <w:right w:val="single" w:color="000000" w:sz="6" w:space="0"/>
            </w:tcBorders>
            <w:vAlign w:val="center"/>
          </w:tcPr>
          <w:p w14:paraId="5C0870CD">
            <w:pPr>
              <w:ind w:left="73" w:leftChars="35"/>
              <w:jc w:val="center"/>
              <w:rPr>
                <w:rFonts w:ascii="仿宋" w:hAnsi="仿宋" w:eastAsia="仿宋" w:cs="仿宋"/>
                <w:szCs w:val="21"/>
              </w:rPr>
            </w:pPr>
            <w:r>
              <w:rPr>
                <w:rFonts w:hint="eastAsia" w:ascii="仿宋" w:hAnsi="仿宋" w:eastAsia="仿宋" w:cs="仿宋"/>
                <w:spacing w:val="-1"/>
                <w:szCs w:val="21"/>
                <w:lang w:val="en-US" w:eastAsia="zh-CN"/>
              </w:rPr>
              <w:t>男女4X100米自由泳接力、男女4X100米混合泳接力</w:t>
            </w:r>
          </w:p>
        </w:tc>
      </w:tr>
    </w:tbl>
    <w:p w14:paraId="4523AE7E">
      <w:pPr>
        <w:adjustRightInd w:val="0"/>
        <w:snapToGrid w:val="0"/>
        <w:spacing w:line="540" w:lineRule="exact"/>
        <w:ind w:firstLine="562" w:firstLineChars="200"/>
        <w:rPr>
          <w:rFonts w:ascii="仿宋" w:hAnsi="仿宋" w:eastAsia="仿宋" w:cs="仿宋"/>
          <w:b/>
          <w:sz w:val="28"/>
          <w:szCs w:val="28"/>
        </w:rPr>
      </w:pPr>
    </w:p>
    <w:p w14:paraId="0D50DA21">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八、参赛资格</w:t>
      </w:r>
    </w:p>
    <w:p w14:paraId="0B069590">
      <w:pPr>
        <w:spacing w:line="540" w:lineRule="exact"/>
        <w:ind w:firstLine="560" w:firstLineChars="200"/>
        <w:rPr>
          <w:rFonts w:ascii="仿宋" w:hAnsi="仿宋" w:eastAsia="仿宋" w:cs="仿宋"/>
          <w:color w:val="0000FF"/>
          <w:sz w:val="28"/>
          <w:szCs w:val="28"/>
          <w:highlight w:val="none"/>
        </w:rPr>
      </w:pPr>
      <w:r>
        <w:rPr>
          <w:rFonts w:hint="eastAsia" w:ascii="仿宋" w:hAnsi="仿宋" w:eastAsia="仿宋" w:cs="仿宋"/>
          <w:sz w:val="28"/>
          <w:szCs w:val="28"/>
        </w:rPr>
        <w:t>（一）运动员须具有中国国籍（包括港、澳、台）。运动员须经医务部门检查，证明身体健康，适合参赛。</w:t>
      </w:r>
      <w:r>
        <w:rPr>
          <w:rFonts w:hint="eastAsia" w:ascii="仿宋" w:hAnsi="仿宋" w:eastAsia="仿宋" w:cs="仿宋"/>
          <w:sz w:val="28"/>
          <w:szCs w:val="28"/>
          <w:highlight w:val="none"/>
        </w:rPr>
        <w:t>参赛运动员须为已进入教育部“全国高校新生录取及在校学生学籍管理系统(数据信息库)”,具有中国国籍(包括港、澳、台)的在籍在读全日制大学生(不含成人高等教育系列)</w:t>
      </w:r>
    </w:p>
    <w:p w14:paraId="0C9919B5">
      <w:pPr>
        <w:overflowPunct w:val="0"/>
        <w:topLinePunct/>
        <w:spacing w:line="540" w:lineRule="exact"/>
        <w:ind w:left="105" w:leftChars="50" w:firstLine="560" w:firstLineChars="200"/>
        <w:rPr>
          <w:rFonts w:hint="eastAsia" w:ascii="仿宋" w:hAnsi="仿宋" w:eastAsia="仿宋" w:cs="仿宋"/>
          <w:sz w:val="28"/>
          <w:szCs w:val="28"/>
        </w:rPr>
      </w:pPr>
      <w:r>
        <w:rPr>
          <w:rFonts w:hint="eastAsia" w:ascii="仿宋" w:hAnsi="仿宋" w:eastAsia="仿宋" w:cs="仿宋"/>
          <w:sz w:val="28"/>
          <w:szCs w:val="28"/>
        </w:rPr>
        <w:t>（二）每名运动员只能代表一个单位（代表团）参赛；运动员不得跨越组别参赛。</w:t>
      </w:r>
    </w:p>
    <w:p w14:paraId="2591E9CF">
      <w:pPr>
        <w:overflowPunct w:val="0"/>
        <w:topLinePunct/>
        <w:spacing w:line="540" w:lineRule="exact"/>
        <w:ind w:left="105" w:leftChars="50" w:firstLine="560" w:firstLineChars="200"/>
        <w:rPr>
          <w:rFonts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三</w:t>
      </w:r>
      <w:r>
        <w:rPr>
          <w:rFonts w:hint="eastAsia" w:ascii="仿宋" w:hAnsi="仿宋" w:eastAsia="仿宋" w:cs="仿宋"/>
          <w:sz w:val="28"/>
          <w:szCs w:val="28"/>
          <w:lang w:eastAsia="zh-CN"/>
        </w:rPr>
        <w:t>）</w:t>
      </w:r>
      <w:r>
        <w:rPr>
          <w:rFonts w:hint="eastAsia" w:ascii="仿宋" w:hAnsi="仿宋" w:eastAsia="仿宋" w:cs="仿宋"/>
          <w:sz w:val="28"/>
          <w:szCs w:val="28"/>
        </w:rPr>
        <w:t>原则上运动员为2008年12月31日之前出生。若部分未到龄学生确已入校就读，各代表团可向组委会申请验证学籍，验证通过后可报名参赛。</w:t>
      </w:r>
    </w:p>
    <w:p w14:paraId="6DF9E55D">
      <w:pPr>
        <w:adjustRightInd w:val="0"/>
        <w:snapToGrid w:val="0"/>
        <w:spacing w:line="54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四</w:t>
      </w:r>
      <w:r>
        <w:rPr>
          <w:rFonts w:hint="eastAsia" w:ascii="仿宋" w:hAnsi="仿宋" w:eastAsia="仿宋" w:cs="仿宋"/>
          <w:sz w:val="28"/>
          <w:szCs w:val="28"/>
          <w:lang w:eastAsia="zh-CN"/>
        </w:rPr>
        <w:t>）</w:t>
      </w:r>
      <w:r>
        <w:rPr>
          <w:rFonts w:hint="eastAsia" w:ascii="仿宋" w:hAnsi="仿宋" w:eastAsia="仿宋" w:cs="仿宋"/>
          <w:sz w:val="28"/>
          <w:szCs w:val="28"/>
          <w:highlight w:val="none"/>
        </w:rPr>
        <w:t>甲组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lang w:val="en-US" w:eastAsia="zh-CN"/>
        </w:rPr>
        <w:t>高水平组</w:t>
      </w:r>
      <w:r>
        <w:rPr>
          <w:rFonts w:hint="eastAsia" w:ascii="仿宋" w:hAnsi="仿宋" w:eastAsia="仿宋" w:cs="仿宋"/>
          <w:sz w:val="28"/>
          <w:szCs w:val="28"/>
          <w:highlight w:val="none"/>
          <w:lang w:eastAsia="zh-CN"/>
        </w:rPr>
        <w:t>）</w:t>
      </w:r>
      <w:r>
        <w:rPr>
          <w:rFonts w:hint="eastAsia" w:ascii="仿宋" w:hAnsi="仿宋" w:eastAsia="仿宋" w:cs="仿宋"/>
          <w:sz w:val="28"/>
          <w:szCs w:val="28"/>
          <w:highlight w:val="none"/>
        </w:rPr>
        <w:t>:按照全国普通高等学校招收高水平运动员办法考试、录取，并在教育部阳光高考高水平运动员招生平台公示的全日制大学生；参加教育部和国家体育总局批准的高水平运动员考试、录取的全日制大学生；参加国家体育总局组织的体育院校和师范类体育院校考试、录取的体育专业类全日制大学生。</w:t>
      </w:r>
    </w:p>
    <w:p w14:paraId="5308C12E">
      <w:pPr>
        <w:adjustRightInd w:val="0"/>
        <w:snapToGrid w:val="0"/>
        <w:spacing w:line="540" w:lineRule="exact"/>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乙组(阳光组)：参赛运动员必须是已进入教育部“全国高校新生录取及在校学生学籍管理系统(数据信息库)”的在沪在读全日制大学生(不含成人高等教育系列的学生),同时满足参加全国统一高考正常录取和未享受高水平运动队招生政策的学生(以招生大表为准),如果是研究生，则在进入本科院校时满足阳光组条件。</w:t>
      </w:r>
    </w:p>
    <w:p w14:paraId="5381A469">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九、参加办法</w:t>
      </w:r>
    </w:p>
    <w:p w14:paraId="5F5C7565">
      <w:pPr>
        <w:overflowPunct w:val="0"/>
        <w:topLinePunct/>
        <w:spacing w:line="540" w:lineRule="exact"/>
        <w:ind w:left="105" w:leftChars="50" w:firstLine="560" w:firstLineChars="200"/>
        <w:rPr>
          <w:rFonts w:ascii="仿宋" w:hAnsi="仿宋" w:eastAsia="仿宋" w:cs="仿宋"/>
          <w:sz w:val="28"/>
          <w:szCs w:val="28"/>
        </w:rPr>
      </w:pPr>
      <w:r>
        <w:rPr>
          <w:rFonts w:hint="eastAsia" w:ascii="仿宋" w:hAnsi="仿宋" w:eastAsia="仿宋" w:cs="仿宋"/>
          <w:sz w:val="28"/>
          <w:szCs w:val="28"/>
        </w:rPr>
        <w:t>（一）报名人数：每参赛单位可报领队1名、教练员4名，联络工作人员1名，甲组可报运动员2</w:t>
      </w:r>
      <w:r>
        <w:rPr>
          <w:rFonts w:hint="eastAsia" w:ascii="仿宋" w:hAnsi="仿宋" w:eastAsia="仿宋" w:cs="仿宋"/>
          <w:sz w:val="28"/>
          <w:szCs w:val="28"/>
          <w:lang w:val="en-US" w:eastAsia="zh-CN"/>
        </w:rPr>
        <w:t>4</w:t>
      </w:r>
      <w:r>
        <w:rPr>
          <w:rFonts w:hint="eastAsia" w:ascii="仿宋" w:hAnsi="仿宋" w:eastAsia="仿宋" w:cs="仿宋"/>
          <w:sz w:val="28"/>
          <w:szCs w:val="28"/>
        </w:rPr>
        <w:t>人、乙组可报运动员2</w:t>
      </w:r>
      <w:r>
        <w:rPr>
          <w:rFonts w:hint="eastAsia" w:ascii="仿宋" w:hAnsi="仿宋" w:eastAsia="仿宋" w:cs="仿宋"/>
          <w:sz w:val="28"/>
          <w:szCs w:val="28"/>
          <w:lang w:val="en-US" w:eastAsia="zh-CN"/>
        </w:rPr>
        <w:t>4</w:t>
      </w:r>
      <w:r>
        <w:rPr>
          <w:rFonts w:hint="eastAsia" w:ascii="仿宋" w:hAnsi="仿宋" w:eastAsia="仿宋" w:cs="仿宋"/>
          <w:sz w:val="28"/>
          <w:szCs w:val="28"/>
        </w:rPr>
        <w:t>人，各组别男女运动员比不得超过2/3,每项限报2人 每人限报2项(接力除外),每个组别各接力项目限报1支队伍。</w:t>
      </w:r>
    </w:p>
    <w:p w14:paraId="1D04FD3F">
      <w:pPr>
        <w:adjustRightInd w:val="0"/>
        <w:snapToGrid w:val="0"/>
        <w:spacing w:line="540" w:lineRule="exact"/>
        <w:ind w:firstLine="561"/>
        <w:rPr>
          <w:rFonts w:ascii="仿宋" w:hAnsi="仿宋" w:eastAsia="仿宋" w:cs="仿宋"/>
          <w:sz w:val="28"/>
          <w:szCs w:val="28"/>
        </w:rPr>
      </w:pPr>
      <w:r>
        <w:rPr>
          <w:rFonts w:hint="eastAsia" w:ascii="仿宋" w:hAnsi="仿宋" w:eastAsia="仿宋" w:cs="仿宋"/>
          <w:sz w:val="28"/>
          <w:szCs w:val="28"/>
        </w:rPr>
        <w:t>（二）凡曾在入学前代表各省(自治区、直辖市)职业俱乐部、行业体协(不含学生体协)、企业参加过限制性比赛的大学生不得参加比赛。限制性比赛包括全国春季游泳锦标赛、全国夏季游泳锦标赛、全国冬季游泳锦标赛、全国游泳冠军赛、全国游泳锦标赛、全国青年游泳锦标赛等赛事。</w:t>
      </w:r>
    </w:p>
    <w:p w14:paraId="4177ABC6">
      <w:pPr>
        <w:overflowPunct w:val="0"/>
        <w:topLinePunct/>
        <w:spacing w:line="540" w:lineRule="exact"/>
        <w:ind w:left="105" w:leftChars="50" w:firstLine="560" w:firstLineChars="200"/>
        <w:rPr>
          <w:rFonts w:hint="eastAsia" w:ascii="仿宋" w:hAnsi="仿宋" w:eastAsia="仿宋" w:cs="仿宋"/>
          <w:sz w:val="28"/>
          <w:szCs w:val="28"/>
        </w:rPr>
      </w:pPr>
      <w:r>
        <w:rPr>
          <w:rFonts w:hint="eastAsia" w:ascii="仿宋" w:hAnsi="仿宋" w:eastAsia="仿宋" w:cs="仿宋"/>
          <w:sz w:val="28"/>
          <w:szCs w:val="28"/>
        </w:rPr>
        <w:t>（三）各参赛队通过上海学生体育管理平台(http://shsunshine-zp.shec.edu.cn/)进行网上注册、报名，一旦报名，不得更改；逾期报名，不予受理。</w:t>
      </w:r>
      <w:r>
        <w:rPr>
          <w:rFonts w:hint="eastAsia" w:ascii="仿宋" w:hAnsi="仿宋" w:eastAsia="仿宋"/>
          <w:color w:val="auto"/>
          <w:sz w:val="28"/>
          <w:szCs w:val="28"/>
        </w:rPr>
        <w:t>如有报名技术问题，</w:t>
      </w:r>
      <w:r>
        <w:rPr>
          <w:rFonts w:hint="eastAsia" w:ascii="仿宋" w:hAnsi="仿宋" w:eastAsia="仿宋"/>
          <w:color w:val="auto"/>
          <w:sz w:val="28"/>
          <w:szCs w:val="28"/>
          <w:lang w:val="en-US" w:eastAsia="zh-CN"/>
        </w:rPr>
        <w:t>请</w:t>
      </w:r>
      <w:r>
        <w:rPr>
          <w:rFonts w:hint="eastAsia" w:ascii="仿宋" w:hAnsi="仿宋" w:eastAsia="仿宋"/>
          <w:color w:val="auto"/>
          <w:sz w:val="28"/>
          <w:szCs w:val="28"/>
        </w:rPr>
        <w:t>电话咨询</w:t>
      </w:r>
      <w:r>
        <w:rPr>
          <w:rFonts w:hint="eastAsia" w:ascii="仿宋" w:hAnsi="仿宋" w:eastAsia="仿宋"/>
          <w:color w:val="auto"/>
          <w:sz w:val="28"/>
          <w:szCs w:val="28"/>
          <w:lang w:eastAsia="zh-CN"/>
        </w:rPr>
        <w:t>：</w:t>
      </w:r>
      <w:r>
        <w:rPr>
          <w:rFonts w:hint="eastAsia" w:ascii="仿宋" w:hAnsi="仿宋" w:eastAsia="仿宋"/>
          <w:color w:val="auto"/>
          <w:sz w:val="28"/>
          <w:szCs w:val="28"/>
        </w:rPr>
        <w:t>4008328399转3</w:t>
      </w:r>
      <w:r>
        <w:rPr>
          <w:rFonts w:hint="eastAsia" w:ascii="仿宋" w:hAnsi="仿宋" w:eastAsia="仿宋"/>
          <w:color w:val="auto"/>
          <w:sz w:val="28"/>
          <w:szCs w:val="28"/>
          <w:lang w:eastAsia="zh-CN"/>
        </w:rPr>
        <w:t>，</w:t>
      </w:r>
      <w:r>
        <w:rPr>
          <w:rFonts w:hint="eastAsia" w:ascii="仿宋" w:hAnsi="仿宋" w:eastAsia="仿宋"/>
          <w:color w:val="auto"/>
          <w:sz w:val="28"/>
          <w:szCs w:val="28"/>
          <w:lang w:val="en-US" w:eastAsia="zh-CN"/>
        </w:rPr>
        <w:t>咨询</w:t>
      </w:r>
      <w:r>
        <w:rPr>
          <w:rFonts w:hint="eastAsia" w:ascii="仿宋" w:hAnsi="仿宋" w:eastAsia="仿宋"/>
          <w:color w:val="auto"/>
          <w:sz w:val="28"/>
          <w:szCs w:val="28"/>
        </w:rPr>
        <w:t>时间：工作日上午 1</w:t>
      </w:r>
      <w:r>
        <w:rPr>
          <w:rFonts w:hint="eastAsia" w:ascii="仿宋" w:hAnsi="仿宋" w:eastAsia="仿宋"/>
          <w:color w:val="auto"/>
          <w:sz w:val="28"/>
          <w:szCs w:val="28"/>
          <w:lang w:val="en-US" w:eastAsia="zh-CN"/>
        </w:rPr>
        <w:t>0:00</w:t>
      </w:r>
      <w:r>
        <w:rPr>
          <w:rFonts w:hint="eastAsia" w:ascii="仿宋" w:hAnsi="仿宋" w:eastAsia="仿宋"/>
          <w:color w:val="auto"/>
          <w:sz w:val="28"/>
          <w:szCs w:val="28"/>
        </w:rPr>
        <w:t>-1</w:t>
      </w:r>
      <w:r>
        <w:rPr>
          <w:rFonts w:hint="eastAsia" w:ascii="仿宋" w:hAnsi="仿宋" w:eastAsia="仿宋"/>
          <w:color w:val="auto"/>
          <w:sz w:val="28"/>
          <w:szCs w:val="28"/>
          <w:lang w:val="en-US" w:eastAsia="zh-CN"/>
        </w:rPr>
        <w:t>2:00、</w:t>
      </w:r>
      <w:r>
        <w:rPr>
          <w:rFonts w:hint="eastAsia" w:ascii="仿宋" w:hAnsi="仿宋" w:eastAsia="仿宋"/>
          <w:color w:val="auto"/>
          <w:sz w:val="28"/>
          <w:szCs w:val="28"/>
        </w:rPr>
        <w:t>下午1</w:t>
      </w:r>
      <w:r>
        <w:rPr>
          <w:rFonts w:hint="eastAsia" w:ascii="仿宋" w:hAnsi="仿宋" w:eastAsia="仿宋"/>
          <w:color w:val="auto"/>
          <w:sz w:val="28"/>
          <w:szCs w:val="28"/>
          <w:lang w:val="en-US" w:eastAsia="zh-CN"/>
        </w:rPr>
        <w:t>4:00</w:t>
      </w:r>
      <w:r>
        <w:rPr>
          <w:rFonts w:hint="eastAsia" w:ascii="仿宋" w:hAnsi="仿宋" w:eastAsia="仿宋"/>
          <w:color w:val="auto"/>
          <w:sz w:val="28"/>
          <w:szCs w:val="28"/>
        </w:rPr>
        <w:t>-1</w:t>
      </w:r>
      <w:r>
        <w:rPr>
          <w:rFonts w:hint="eastAsia" w:ascii="仿宋" w:hAnsi="仿宋" w:eastAsia="仿宋"/>
          <w:color w:val="auto"/>
          <w:sz w:val="28"/>
          <w:szCs w:val="28"/>
          <w:lang w:val="en-US" w:eastAsia="zh-CN"/>
        </w:rPr>
        <w:t>7:00</w:t>
      </w:r>
      <w:r>
        <w:rPr>
          <w:rFonts w:hint="eastAsia" w:ascii="仿宋" w:hAnsi="仿宋" w:eastAsia="仿宋"/>
          <w:color w:val="auto"/>
          <w:sz w:val="28"/>
          <w:szCs w:val="28"/>
          <w:lang w:eastAsia="zh-CN"/>
        </w:rPr>
        <w:t>。</w:t>
      </w:r>
    </w:p>
    <w:p w14:paraId="25524697">
      <w:pPr>
        <w:adjustRightInd w:val="0"/>
        <w:snapToGrid w:val="0"/>
        <w:spacing w:line="540" w:lineRule="exact"/>
        <w:ind w:firstLine="561"/>
        <w:rPr>
          <w:rFonts w:hint="eastAsia" w:ascii="仿宋" w:hAnsi="仿宋" w:eastAsia="仿宋" w:cs="仿宋"/>
          <w:sz w:val="28"/>
          <w:szCs w:val="28"/>
        </w:rPr>
      </w:pPr>
      <w:r>
        <w:rPr>
          <w:rFonts w:hint="eastAsia" w:ascii="仿宋" w:hAnsi="仿宋" w:eastAsia="仿宋" w:cs="仿宋"/>
          <w:sz w:val="28"/>
          <w:szCs w:val="28"/>
        </w:rPr>
        <w:t>（四）各参赛队须为运动员办理人身意外伤害保险。</w:t>
      </w:r>
    </w:p>
    <w:p w14:paraId="213F5700">
      <w:pPr>
        <w:adjustRightInd w:val="0"/>
        <w:snapToGrid w:val="0"/>
        <w:spacing w:line="540" w:lineRule="exact"/>
        <w:ind w:firstLine="561"/>
        <w:rPr>
          <w:rFonts w:hint="eastAsia" w:ascii="仿宋" w:hAnsi="仿宋" w:eastAsia="仿宋" w:cs="仿宋"/>
          <w:sz w:val="28"/>
          <w:szCs w:val="28"/>
        </w:rPr>
      </w:pPr>
      <w:r>
        <w:rPr>
          <w:rFonts w:hint="eastAsia" w:ascii="仿宋" w:hAnsi="仿宋" w:eastAsia="仿宋" w:cs="仿宋"/>
          <w:sz w:val="28"/>
          <w:szCs w:val="28"/>
          <w:lang w:val="en-US" w:eastAsia="zh-CN"/>
        </w:rPr>
        <w:t>（五）领队会议时间：会议时间、会议方式另行通知。</w:t>
      </w:r>
    </w:p>
    <w:p w14:paraId="6DD77167">
      <w:pPr>
        <w:adjustRightInd w:val="0"/>
        <w:snapToGrid w:val="0"/>
        <w:spacing w:line="540" w:lineRule="exact"/>
        <w:ind w:firstLine="561"/>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六</w:t>
      </w:r>
      <w:r>
        <w:rPr>
          <w:rFonts w:hint="eastAsia" w:ascii="仿宋" w:hAnsi="仿宋" w:eastAsia="仿宋" w:cs="仿宋"/>
          <w:sz w:val="28"/>
          <w:szCs w:val="28"/>
          <w:lang w:eastAsia="zh-CN"/>
        </w:rPr>
        <w:t>）</w:t>
      </w:r>
      <w:r>
        <w:rPr>
          <w:rFonts w:hint="eastAsia" w:ascii="仿宋" w:hAnsi="仿宋" w:eastAsia="仿宋" w:cs="仿宋"/>
          <w:sz w:val="28"/>
          <w:szCs w:val="28"/>
        </w:rPr>
        <w:t>所有参赛运动员及辅助人员须在比赛报名开启一周前使用中国反兴奋剂教育平台（https://cleanmedal.chinada.cn）准入模块完成准入工作。</w:t>
      </w:r>
    </w:p>
    <w:p w14:paraId="6DB966B8">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十、竞赛办法</w:t>
      </w:r>
    </w:p>
    <w:p w14:paraId="78A56A3B">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（一）采用中国</w:t>
      </w:r>
      <w:r>
        <w:rPr>
          <w:rFonts w:hint="eastAsia" w:ascii="仿宋" w:hAnsi="仿宋" w:eastAsia="仿宋" w:cs="仿宋"/>
          <w:sz w:val="28"/>
          <w:szCs w:val="28"/>
          <w:lang w:val="en-US" w:eastAsia="zh-CN"/>
        </w:rPr>
        <w:t>游泳</w:t>
      </w:r>
      <w:r>
        <w:rPr>
          <w:rFonts w:hint="eastAsia" w:ascii="仿宋" w:hAnsi="仿宋" w:eastAsia="仿宋" w:cs="仿宋"/>
          <w:sz w:val="28"/>
          <w:szCs w:val="28"/>
        </w:rPr>
        <w:t>协会最新审定公布的《</w:t>
      </w:r>
      <w:r>
        <w:rPr>
          <w:rFonts w:hint="eastAsia" w:ascii="仿宋" w:hAnsi="仿宋" w:eastAsia="仿宋" w:cs="仿宋"/>
          <w:sz w:val="28"/>
          <w:szCs w:val="28"/>
          <w:lang w:val="en-US" w:eastAsia="zh-CN"/>
        </w:rPr>
        <w:t>游泳</w:t>
      </w:r>
      <w:r>
        <w:rPr>
          <w:rFonts w:hint="eastAsia" w:ascii="仿宋" w:hAnsi="仿宋" w:eastAsia="仿宋" w:cs="仿宋"/>
          <w:sz w:val="28"/>
          <w:szCs w:val="28"/>
        </w:rPr>
        <w:t>竞赛规则》及</w:t>
      </w:r>
      <w:r>
        <w:rPr>
          <w:rFonts w:hint="eastAsia" w:ascii="仿宋" w:hAnsi="仿宋" w:eastAsia="仿宋" w:cs="仿宋"/>
          <w:sz w:val="28"/>
          <w:szCs w:val="28"/>
          <w:lang w:val="en-US" w:eastAsia="zh-CN"/>
        </w:rPr>
        <w:t>中国游泳协会颁发</w:t>
      </w:r>
      <w:r>
        <w:rPr>
          <w:rFonts w:hint="eastAsia" w:ascii="仿宋" w:hAnsi="仿宋" w:eastAsia="仿宋" w:cs="仿宋"/>
          <w:sz w:val="28"/>
          <w:szCs w:val="28"/>
        </w:rPr>
        <w:t>相关补充规定。</w:t>
      </w:r>
    </w:p>
    <w:p w14:paraId="0BB4A126">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(二)甲组、乙组所有项目均采用一次性决赛。</w:t>
      </w:r>
    </w:p>
    <w:p w14:paraId="4E4E553C">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(三)各项目(小项)报名少于2个参赛单位3 个队(人),不安排比赛。</w:t>
      </w:r>
    </w:p>
    <w:p w14:paraId="315F9527">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(四)运动员如有无故弃权(重赛除外), 则不得参加其它项目的比赛。</w:t>
      </w:r>
    </w:p>
    <w:p w14:paraId="7A9544FA">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(五)出发时，允许运动员在出发台台下及水下出发，但须示意执行总裁判 。</w:t>
      </w:r>
    </w:p>
    <w:p w14:paraId="4F93FB2C">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(六)每场赛前 45 分钟，向编排处递交本场接力棒次表，否则以无故弃权论处。</w:t>
      </w:r>
    </w:p>
    <w:p w14:paraId="3CB36945">
      <w:pPr>
        <w:adjustRightInd w:val="0"/>
        <w:snapToGrid w:val="0"/>
        <w:spacing w:line="5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十一、录取名次、计牌计分和奖励办法</w:t>
      </w:r>
      <w:r>
        <w:rPr>
          <w:rStyle w:val="15"/>
          <w:rFonts w:hint="eastAsia" w:ascii="仿宋" w:hAnsi="仿宋" w:eastAsia="仿宋" w:cs="仿宋"/>
          <w:b/>
          <w:bCs/>
          <w:sz w:val="28"/>
          <w:szCs w:val="28"/>
        </w:rPr>
        <w:footnoteReference w:id="0"/>
      </w:r>
    </w:p>
    <w:p w14:paraId="4E880775">
      <w:pPr>
        <w:adjustRightInd w:val="0"/>
        <w:snapToGrid w:val="0"/>
        <w:spacing w:line="540" w:lineRule="exact"/>
        <w:ind w:firstLine="560" w:firstLineChars="200"/>
        <w:rPr>
          <w:rFonts w:ascii="仿宋" w:hAnsi="仿宋" w:eastAsia="仿宋" w:cs="仿宋"/>
          <w:sz w:val="28"/>
          <w:szCs w:val="28"/>
        </w:rPr>
      </w:pPr>
      <w:r>
        <w:rPr>
          <w:rFonts w:hint="eastAsia" w:ascii="仿宋" w:hAnsi="仿宋" w:eastAsia="仿宋" w:cs="仿宋"/>
          <w:sz w:val="28"/>
          <w:szCs w:val="28"/>
        </w:rPr>
        <w:t>（一）各组别各项目有9队(人)或9队(人)以上参赛的录取前八名不足9队(人)的，按实际参赛队(人)数减一录取名次。</w:t>
      </w:r>
    </w:p>
    <w:p w14:paraId="79F85D52">
      <w:pPr>
        <w:adjustRightInd w:val="0"/>
        <w:snapToGrid w:val="0"/>
        <w:spacing w:line="540" w:lineRule="exact"/>
        <w:ind w:firstLine="560" w:firstLineChars="200"/>
        <w:rPr>
          <w:rFonts w:hint="eastAsia" w:ascii="仿宋" w:hAnsi="仿宋" w:eastAsia="仿宋" w:cs="仿宋"/>
          <w:bCs/>
          <w:sz w:val="28"/>
          <w:szCs w:val="28"/>
          <w:highlight w:val="none"/>
        </w:rPr>
      </w:pPr>
      <w:r>
        <w:rPr>
          <w:rFonts w:hint="eastAsia" w:ascii="仿宋" w:hAnsi="仿宋" w:eastAsia="仿宋" w:cs="仿宋"/>
          <w:sz w:val="28"/>
          <w:szCs w:val="28"/>
        </w:rPr>
        <w:t>（二）</w:t>
      </w:r>
      <w:r>
        <w:rPr>
          <w:rFonts w:hint="eastAsia" w:ascii="仿宋" w:hAnsi="仿宋" w:eastAsia="仿宋" w:cs="仿宋"/>
          <w:bCs/>
          <w:sz w:val="28"/>
          <w:szCs w:val="28"/>
        </w:rPr>
        <w:t>各组别、各项目前三名的运动员(队),颁发奖牌；前八名的运动员(队),</w:t>
      </w:r>
      <w:r>
        <w:rPr>
          <w:rFonts w:hint="eastAsia" w:ascii="仿宋" w:hAnsi="仿宋" w:eastAsia="仿宋" w:cs="仿宋"/>
          <w:bCs/>
          <w:sz w:val="28"/>
          <w:szCs w:val="28"/>
          <w:highlight w:val="none"/>
        </w:rPr>
        <w:t>获得报名平台自动生成带有唯一证书编号的电子成绩证书  成绩证书可以在报名平台实时查询。</w:t>
      </w:r>
    </w:p>
    <w:p w14:paraId="248D0AFD">
      <w:pPr>
        <w:adjustRightInd w:val="0"/>
        <w:snapToGrid w:val="0"/>
        <w:spacing w:line="5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十二、申诉和纪律</w:t>
      </w:r>
    </w:p>
    <w:p w14:paraId="1F942B55">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一）凡对运动员参赛资格进行申诉的，须将经代表团盖章的申诉书、详细举报和证明材料提交组委会，逾期不予受理。高校组申诉时间：参赛运动员的报名信息公布后一周内（公布网站：上海市学校体育高水平竞赛管理通道，公布时间详见网站信息）。</w:t>
      </w:r>
    </w:p>
    <w:p w14:paraId="124F2610">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（二）比赛期间如需申诉的，代表团应在24小时内以书面形式附代表团盖章的证明材料，提交至项目竞赛委员会，逾期不予受理。</w:t>
      </w:r>
    </w:p>
    <w:p w14:paraId="0173E08D">
      <w:pPr>
        <w:adjustRightInd w:val="0"/>
        <w:snapToGrid w:val="0"/>
        <w:spacing w:line="540" w:lineRule="exact"/>
        <w:ind w:firstLine="560" w:firstLineChars="200"/>
        <w:rPr>
          <w:rFonts w:hint="eastAsia" w:ascii="仿宋" w:hAnsi="仿宋" w:eastAsia="仿宋" w:cs="仿宋"/>
          <w:sz w:val="28"/>
          <w:szCs w:val="28"/>
        </w:rPr>
      </w:pPr>
      <w:r>
        <w:rPr>
          <w:rFonts w:hint="eastAsia" w:ascii="仿宋" w:hAnsi="仿宋" w:eastAsia="仿宋" w:cs="仿宋"/>
          <w:sz w:val="28"/>
          <w:szCs w:val="28"/>
        </w:rPr>
        <w:t>（三）对运动员、教练员、裁判员和体育赛事组织者违反本届运动会赛风赛纪情形，一经查实，按照《上海市体育赛事活动赛风赛纪管理实施细则》及市运会组委会有关规定进行处罚。对发生任何兴奋剂违规事件的，按国家体育总局、上海市体育局反兴奋剂相关规定进行处罚。</w:t>
      </w:r>
    </w:p>
    <w:p w14:paraId="6A4BC152">
      <w:pPr>
        <w:adjustRightInd w:val="0"/>
        <w:snapToGrid w:val="0"/>
        <w:spacing w:line="540" w:lineRule="exact"/>
        <w:ind w:firstLine="562" w:firstLineChars="200"/>
        <w:rPr>
          <w:rFonts w:ascii="仿宋" w:hAnsi="仿宋" w:eastAsia="仿宋" w:cs="仿宋"/>
          <w:b/>
          <w:bCs/>
          <w:sz w:val="28"/>
          <w:szCs w:val="28"/>
        </w:rPr>
      </w:pPr>
      <w:r>
        <w:rPr>
          <w:rFonts w:hint="eastAsia" w:ascii="仿宋" w:hAnsi="仿宋" w:eastAsia="仿宋" w:cs="仿宋"/>
          <w:b/>
          <w:bCs/>
          <w:sz w:val="28"/>
          <w:szCs w:val="28"/>
        </w:rPr>
        <w:t>十三、技术官员</w:t>
      </w:r>
    </w:p>
    <w:p w14:paraId="4929C72D">
      <w:pPr>
        <w:adjustRightInd w:val="0"/>
        <w:snapToGrid w:val="0"/>
        <w:spacing w:line="540" w:lineRule="exact"/>
        <w:ind w:firstLine="560" w:firstLineChars="200"/>
        <w:rPr>
          <w:rFonts w:ascii="仿宋" w:hAnsi="仿宋" w:eastAsia="仿宋" w:cs="仿宋"/>
          <w:sz w:val="28"/>
          <w:szCs w:val="28"/>
        </w:rPr>
      </w:pPr>
      <w:r>
        <w:rPr>
          <w:rFonts w:hint="eastAsia" w:ascii="仿宋" w:hAnsi="仿宋" w:eastAsia="仿宋" w:cs="仿宋"/>
          <w:sz w:val="28"/>
          <w:szCs w:val="28"/>
        </w:rPr>
        <w:t>按照本届运动会竞赛规程总则的有关规定执行。</w:t>
      </w:r>
    </w:p>
    <w:p w14:paraId="6C6781D3">
      <w:pPr>
        <w:adjustRightInd w:val="0"/>
        <w:snapToGrid w:val="0"/>
        <w:spacing w:line="540" w:lineRule="exact"/>
        <w:ind w:firstLine="562" w:firstLineChars="200"/>
        <w:rPr>
          <w:rFonts w:ascii="仿宋" w:hAnsi="仿宋" w:eastAsia="仿宋" w:cs="仿宋"/>
          <w:b/>
          <w:sz w:val="28"/>
          <w:szCs w:val="28"/>
        </w:rPr>
      </w:pPr>
      <w:r>
        <w:rPr>
          <w:rFonts w:hint="eastAsia" w:ascii="仿宋" w:hAnsi="仿宋" w:eastAsia="仿宋" w:cs="仿宋"/>
          <w:b/>
          <w:sz w:val="28"/>
          <w:szCs w:val="28"/>
        </w:rPr>
        <w:t>十</w:t>
      </w:r>
      <w:r>
        <w:rPr>
          <w:rFonts w:hint="eastAsia" w:ascii="仿宋" w:hAnsi="仿宋" w:eastAsia="仿宋" w:cs="仿宋"/>
          <w:b/>
          <w:sz w:val="28"/>
          <w:szCs w:val="28"/>
          <w:lang w:val="en-US" w:eastAsia="zh-CN"/>
        </w:rPr>
        <w:t>四</w:t>
      </w:r>
      <w:r>
        <w:rPr>
          <w:rFonts w:hint="eastAsia" w:ascii="仿宋" w:hAnsi="仿宋" w:eastAsia="仿宋" w:cs="仿宋"/>
          <w:b/>
          <w:sz w:val="28"/>
          <w:szCs w:val="28"/>
        </w:rPr>
        <w:t>、其他</w:t>
      </w:r>
    </w:p>
    <w:p w14:paraId="390B454C">
      <w:pPr>
        <w:adjustRightInd w:val="0"/>
        <w:snapToGrid w:val="0"/>
        <w:spacing w:line="540" w:lineRule="exact"/>
        <w:ind w:firstLine="560" w:firstLineChars="200"/>
        <w:rPr>
          <w:rFonts w:ascii="仿宋" w:hAnsi="仿宋" w:eastAsia="仿宋" w:cs="仿宋"/>
          <w:color w:val="000000"/>
          <w:sz w:val="28"/>
          <w:szCs w:val="28"/>
        </w:rPr>
      </w:pPr>
      <w:bookmarkStart w:id="0" w:name="_Hlk162361054"/>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一</w:t>
      </w:r>
      <w:r>
        <w:rPr>
          <w:rFonts w:hint="eastAsia" w:ascii="仿宋" w:hAnsi="仿宋" w:eastAsia="仿宋" w:cs="仿宋"/>
          <w:color w:val="000000"/>
          <w:sz w:val="28"/>
          <w:szCs w:val="28"/>
        </w:rPr>
        <w:t>）参赛单位运动员、教练员应知晓体育竞赛的相关风险，确保自己身体状况符合参赛要求，自行承担非承办单位故意或重大过失导致的伤害。</w:t>
      </w:r>
      <w:bookmarkEnd w:id="0"/>
    </w:p>
    <w:p w14:paraId="7BD7BF8E">
      <w:pPr>
        <w:adjustRightInd w:val="0"/>
        <w:snapToGrid w:val="0"/>
        <w:spacing w:line="540" w:lineRule="exact"/>
        <w:ind w:firstLine="560" w:firstLineChars="200"/>
        <w:rPr>
          <w:rFonts w:ascii="仿宋" w:hAnsi="仿宋" w:eastAsia="仿宋" w:cs="仿宋"/>
          <w:color w:val="000000"/>
          <w:sz w:val="28"/>
          <w:szCs w:val="28"/>
        </w:rPr>
      </w:pP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二</w:t>
      </w:r>
      <w:r>
        <w:rPr>
          <w:rFonts w:hint="eastAsia" w:ascii="仿宋" w:hAnsi="仿宋" w:eastAsia="仿宋" w:cs="仿宋"/>
          <w:color w:val="000000"/>
          <w:sz w:val="28"/>
          <w:szCs w:val="28"/>
        </w:rPr>
        <w:t>）未尽事宜，另行通知。</w:t>
      </w:r>
    </w:p>
    <w:p w14:paraId="6EBF412B">
      <w:pPr>
        <w:spacing w:line="540" w:lineRule="exact"/>
      </w:pPr>
    </w:p>
    <w:sectPr>
      <w:footerReference r:id="rId5" w:type="default"/>
      <w:footnotePr>
        <w:numRestart w:val="eachPage"/>
      </w:footnotePr>
      <w:type w:val="continuous"/>
      <w:pgSz w:w="11906" w:h="16838"/>
      <w:pgMar w:top="1440" w:right="1800" w:bottom="1440" w:left="1800"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docPartObj>
        <w:docPartGallery w:val="autotext"/>
      </w:docPartObj>
    </w:sdtPr>
    <w:sdtEndPr>
      <w:rPr>
        <w:rFonts w:ascii="宋体" w:hAnsi="宋体"/>
        <w:sz w:val="28"/>
        <w:szCs w:val="28"/>
      </w:rPr>
    </w:sdtEndPr>
    <w:sdtContent>
      <w:p w14:paraId="19E2D230">
        <w:pPr>
          <w:pStyle w:val="6"/>
          <w:jc w:val="center"/>
          <w:rPr>
            <w:rFonts w:ascii="宋体" w:hAnsi="宋体"/>
            <w:sz w:val="28"/>
            <w:szCs w:val="28"/>
          </w:rPr>
        </w:pP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sdtContent>
  </w:sdt>
  <w:p w14:paraId="3B73AA1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FB89D">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14:paraId="1894E04A">
      <w:pPr>
        <w:pStyle w:val="8"/>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numRestart w:val="eachPage"/>
    <w:footnote w:id="2"/>
    <w:footnote w:id="3"/>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278A"/>
    <w:rsid w:val="002A225D"/>
    <w:rsid w:val="0038156C"/>
    <w:rsid w:val="00431B88"/>
    <w:rsid w:val="0044278A"/>
    <w:rsid w:val="004E07DD"/>
    <w:rsid w:val="00607D0B"/>
    <w:rsid w:val="00A73759"/>
    <w:rsid w:val="00B01952"/>
    <w:rsid w:val="00F16E78"/>
    <w:rsid w:val="00F52FCA"/>
    <w:rsid w:val="00F93AA1"/>
    <w:rsid w:val="0C5315DB"/>
    <w:rsid w:val="0CB84D0B"/>
    <w:rsid w:val="0F6C3E53"/>
    <w:rsid w:val="122D52DF"/>
    <w:rsid w:val="15DF7B3C"/>
    <w:rsid w:val="19922AF2"/>
    <w:rsid w:val="2135726F"/>
    <w:rsid w:val="23DA11A6"/>
    <w:rsid w:val="2AC97C2B"/>
    <w:rsid w:val="2DA717B3"/>
    <w:rsid w:val="399530D6"/>
    <w:rsid w:val="3A98568E"/>
    <w:rsid w:val="4C3677AE"/>
    <w:rsid w:val="577627D5"/>
    <w:rsid w:val="6AE71EEF"/>
    <w:rsid w:val="B92712DE"/>
    <w:rsid w:val="B9F7F5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99"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35"/>
    <w:rPr>
      <w:rFonts w:ascii="Cambria" w:hAnsi="Cambria" w:eastAsia="黑体" w:cs="宋体"/>
      <w:sz w:val="20"/>
      <w:szCs w:val="20"/>
    </w:rPr>
  </w:style>
  <w:style w:type="paragraph" w:styleId="3">
    <w:name w:val="annotation text"/>
    <w:basedOn w:val="1"/>
    <w:link w:val="20"/>
    <w:qFormat/>
    <w:uiPriority w:val="99"/>
    <w:pPr>
      <w:jc w:val="left"/>
    </w:pPr>
  </w:style>
  <w:style w:type="paragraph" w:styleId="4">
    <w:name w:val="endnote text"/>
    <w:basedOn w:val="1"/>
    <w:link w:val="23"/>
    <w:qFormat/>
    <w:uiPriority w:val="99"/>
    <w:pPr>
      <w:snapToGrid w:val="0"/>
      <w:jc w:val="left"/>
    </w:pPr>
  </w:style>
  <w:style w:type="paragraph" w:styleId="5">
    <w:name w:val="Balloon Text"/>
    <w:basedOn w:val="1"/>
    <w:link w:val="19"/>
    <w:qFormat/>
    <w:uiPriority w:val="99"/>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99"/>
    <w:pPr>
      <w:snapToGrid w:val="0"/>
      <w:jc w:val="left"/>
    </w:pPr>
    <w:rPr>
      <w:sz w:val="18"/>
      <w:szCs w:val="18"/>
    </w:rPr>
  </w:style>
  <w:style w:type="paragraph" w:styleId="9">
    <w:name w:val="annotation subject"/>
    <w:basedOn w:val="3"/>
    <w:next w:val="3"/>
    <w:link w:val="21"/>
    <w:qFormat/>
    <w:uiPriority w:val="99"/>
    <w:rPr>
      <w:b/>
      <w:bCs/>
    </w:rPr>
  </w:style>
  <w:style w:type="character" w:styleId="12">
    <w:name w:val="endnote reference"/>
    <w:basedOn w:val="11"/>
    <w:qFormat/>
    <w:uiPriority w:val="99"/>
    <w:rPr>
      <w:vertAlign w:val="superscript"/>
    </w:rPr>
  </w:style>
  <w:style w:type="character" w:styleId="13">
    <w:name w:val="Hyperlink"/>
    <w:basedOn w:val="11"/>
    <w:qFormat/>
    <w:uiPriority w:val="99"/>
    <w:rPr>
      <w:color w:val="0000FF"/>
      <w:u w:val="single"/>
    </w:rPr>
  </w:style>
  <w:style w:type="character" w:styleId="14">
    <w:name w:val="annotation reference"/>
    <w:basedOn w:val="11"/>
    <w:qFormat/>
    <w:uiPriority w:val="99"/>
    <w:rPr>
      <w:sz w:val="21"/>
      <w:szCs w:val="21"/>
    </w:rPr>
  </w:style>
  <w:style w:type="character" w:styleId="15">
    <w:name w:val="footnote reference"/>
    <w:basedOn w:val="11"/>
    <w:qFormat/>
    <w:uiPriority w:val="99"/>
    <w:rPr>
      <w:vertAlign w:val="superscript"/>
    </w:rPr>
  </w:style>
  <w:style w:type="character" w:customStyle="1" w:styleId="16">
    <w:name w:val="页眉 字符"/>
    <w:basedOn w:val="11"/>
    <w:link w:val="7"/>
    <w:qFormat/>
    <w:uiPriority w:val="99"/>
    <w:rPr>
      <w:rFonts w:ascii="Calibri" w:hAnsi="Calibri" w:eastAsia="宋体" w:cs="Times New Roman"/>
      <w:sz w:val="18"/>
      <w:szCs w:val="18"/>
    </w:rPr>
  </w:style>
  <w:style w:type="character" w:customStyle="1" w:styleId="17">
    <w:name w:val="页脚 字符"/>
    <w:basedOn w:val="11"/>
    <w:link w:val="6"/>
    <w:qFormat/>
    <w:uiPriority w:val="99"/>
    <w:rPr>
      <w:rFonts w:ascii="Calibri" w:hAnsi="Calibri"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批注框文本 字符"/>
    <w:basedOn w:val="11"/>
    <w:link w:val="5"/>
    <w:qFormat/>
    <w:uiPriority w:val="99"/>
    <w:rPr>
      <w:rFonts w:ascii="Calibri" w:hAnsi="Calibri" w:eastAsia="宋体" w:cs="Times New Roman"/>
      <w:kern w:val="2"/>
      <w:sz w:val="18"/>
      <w:szCs w:val="18"/>
    </w:rPr>
  </w:style>
  <w:style w:type="character" w:customStyle="1" w:styleId="20">
    <w:name w:val="批注文字 字符"/>
    <w:basedOn w:val="11"/>
    <w:link w:val="3"/>
    <w:qFormat/>
    <w:uiPriority w:val="99"/>
    <w:rPr>
      <w:rFonts w:ascii="Calibri" w:hAnsi="Calibri" w:eastAsia="宋体" w:cs="Times New Roman"/>
      <w:kern w:val="2"/>
      <w:sz w:val="21"/>
      <w:szCs w:val="24"/>
    </w:rPr>
  </w:style>
  <w:style w:type="character" w:customStyle="1" w:styleId="21">
    <w:name w:val="批注主题 字符"/>
    <w:basedOn w:val="20"/>
    <w:link w:val="9"/>
    <w:qFormat/>
    <w:uiPriority w:val="0"/>
    <w:rPr>
      <w:rFonts w:ascii="Calibri" w:hAnsi="Calibri" w:eastAsia="宋体" w:cs="Times New Roman"/>
      <w:kern w:val="2"/>
      <w:sz w:val="21"/>
      <w:szCs w:val="24"/>
    </w:rPr>
  </w:style>
  <w:style w:type="character" w:customStyle="1" w:styleId="22">
    <w:name w:val="脚注文本 字符"/>
    <w:basedOn w:val="11"/>
    <w:link w:val="8"/>
    <w:qFormat/>
    <w:uiPriority w:val="99"/>
    <w:rPr>
      <w:rFonts w:ascii="Calibri" w:hAnsi="Calibri" w:eastAsia="宋体" w:cs="Times New Roman"/>
      <w:kern w:val="2"/>
      <w:sz w:val="18"/>
      <w:szCs w:val="18"/>
    </w:rPr>
  </w:style>
  <w:style w:type="character" w:customStyle="1" w:styleId="23">
    <w:name w:val="尾注文本 字符"/>
    <w:basedOn w:val="11"/>
    <w:link w:val="4"/>
    <w:qFormat/>
    <w:uiPriority w:val="99"/>
    <w:rPr>
      <w:rFonts w:ascii="Calibri" w:hAnsi="Calibri" w:eastAsia="宋体" w:cs="Times New Roman"/>
      <w:kern w:val="2"/>
      <w:sz w:val="21"/>
      <w:szCs w:val="24"/>
    </w:rPr>
  </w:style>
  <w:style w:type="paragraph" w:customStyle="1" w:styleId="24">
    <w:name w:val="Table Text"/>
    <w:basedOn w:val="1"/>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Pages>
  <Words>1964</Words>
  <Characters>2261</Characters>
  <Lines>24</Lines>
  <Paragraphs>6</Paragraphs>
  <TotalTime>0</TotalTime>
  <ScaleCrop>false</ScaleCrop>
  <LinksUpToDate>false</LinksUpToDate>
  <CharactersWithSpaces>2271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2022-01-22T06:02:00Z</dcterms:created>
  <dc:creator>微软中国</dc:creator>
  <cp:lastModifiedBy>ৡั龙 飞ৡั</cp:lastModifiedBy>
  <cp:lastPrinted>2025-12-18T07:37:00Z</cp:lastPrinted>
  <dcterms:modified xsi:type="dcterms:W3CDTF">2026-09-23T05:20:33Z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1AA08C093205E7E1DD8CFC698ED5B70B_43</vt:lpwstr>
  </property>
  <property fmtid="{D5CDD505-2E9C-101B-9397-08002B2CF9AE}" pid="4" name="KSOTemplateDocerSaveRecord">
    <vt:lpwstr>eyJoZGlkIjoiYWY0NmEwNDg5ODMzNGUyNzU0ODI5OWZhNjVmYWU0MjgiLCJ1c2VySWQiOiIyMDkxNjAyNjUifQ==</vt:lpwstr>
  </property>
</Properties>
</file>